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060"/>
      </w:tblGrid>
      <w:tr w:rsidR="004A040D" w:rsidRPr="004A040D" w:rsidTr="004A040D">
        <w:trPr>
          <w:tblCellSpacing w:w="15" w:type="dxa"/>
        </w:trPr>
        <w:tc>
          <w:tcPr>
            <w:tcW w:w="9000" w:type="dxa"/>
            <w:vAlign w:val="center"/>
            <w:hideMark/>
          </w:tcPr>
          <w:tbl>
            <w:tblPr>
              <w:tblW w:w="0" w:type="auto"/>
              <w:tblCellSpacing w:w="15" w:type="dxa"/>
              <w:tblCellMar>
                <w:top w:w="15" w:type="dxa"/>
                <w:left w:w="15" w:type="dxa"/>
                <w:bottom w:w="15" w:type="dxa"/>
                <w:right w:w="15" w:type="dxa"/>
              </w:tblCellMar>
              <w:tblLook w:val="04A0"/>
            </w:tblPr>
            <w:tblGrid>
              <w:gridCol w:w="4830"/>
              <w:gridCol w:w="3960"/>
            </w:tblGrid>
            <w:tr w:rsidR="004A040D" w:rsidRPr="004A040D">
              <w:trPr>
                <w:tblCellSpacing w:w="15" w:type="dxa"/>
              </w:trPr>
              <w:tc>
                <w:tcPr>
                  <w:tcW w:w="4785" w:type="dxa"/>
                  <w:vAlign w:val="center"/>
                  <w:hideMark/>
                </w:tcPr>
                <w:p w:rsidR="004A040D" w:rsidRPr="004A040D" w:rsidRDefault="004A040D" w:rsidP="004A040D">
                  <w:pPr>
                    <w:spacing w:after="0" w:line="240" w:lineRule="auto"/>
                    <w:jc w:val="center"/>
                    <w:rPr>
                      <w:rFonts w:ascii="Times New Roman" w:eastAsia="Times New Roman" w:hAnsi="Times New Roman" w:cs="Times New Roman"/>
                      <w:sz w:val="24"/>
                      <w:szCs w:val="24"/>
                    </w:rPr>
                  </w:pPr>
                  <w:r w:rsidRPr="004A040D">
                    <w:rPr>
                      <w:rFonts w:ascii="Times New Roman" w:eastAsia="Times New Roman" w:hAnsi="Times New Roman" w:cs="Times New Roman"/>
                      <w:color w:val="505050"/>
                      <w:sz w:val="24"/>
                      <w:szCs w:val="24"/>
                    </w:rPr>
                    <w:t>AAPS encourages more physicians to work within their local and State Medical Societies to pass resolutions opposing mandatory maintenance of certification. </w:t>
                  </w:r>
                </w:p>
              </w:tc>
              <w:tc>
                <w:tcPr>
                  <w:tcW w:w="3915" w:type="dxa"/>
                  <w:vAlign w:val="center"/>
                  <w:hideMark/>
                </w:tcPr>
                <w:p w:rsidR="004A040D" w:rsidRPr="004A040D" w:rsidRDefault="004A040D" w:rsidP="004A040D">
                  <w:pPr>
                    <w:spacing w:after="0" w:line="240" w:lineRule="auto"/>
                    <w:jc w:val="center"/>
                    <w:rPr>
                      <w:rFonts w:ascii="Times New Roman" w:eastAsia="Times New Roman" w:hAnsi="Times New Roman" w:cs="Times New Roman"/>
                      <w:sz w:val="24"/>
                      <w:szCs w:val="24"/>
                    </w:rPr>
                  </w:pPr>
                  <w:r w:rsidRPr="004A040D">
                    <w:rPr>
                      <w:rFonts w:ascii="Times New Roman" w:eastAsia="Times New Roman" w:hAnsi="Times New Roman" w:cs="Times New Roman"/>
                      <w:color w:val="505050"/>
                      <w:sz w:val="24"/>
                      <w:szCs w:val="24"/>
                    </w:rPr>
                    <w:t>Is this email not displaying correctly?</w:t>
                  </w:r>
                  <w:r w:rsidRPr="004A040D">
                    <w:rPr>
                      <w:rFonts w:ascii="Times New Roman" w:eastAsia="Times New Roman" w:hAnsi="Times New Roman" w:cs="Times New Roman"/>
                      <w:color w:val="505050"/>
                      <w:sz w:val="24"/>
                      <w:szCs w:val="24"/>
                    </w:rPr>
                    <w:br/>
                  </w:r>
                  <w:hyperlink r:id="rId5" w:history="1">
                    <w:r w:rsidRPr="004A040D">
                      <w:rPr>
                        <w:rFonts w:ascii="Times New Roman" w:eastAsia="Times New Roman" w:hAnsi="Times New Roman" w:cs="Times New Roman"/>
                        <w:color w:val="336699"/>
                        <w:sz w:val="24"/>
                        <w:szCs w:val="24"/>
                        <w:u w:val="single"/>
                      </w:rPr>
                      <w:t>View it in your browser</w:t>
                    </w:r>
                  </w:hyperlink>
                  <w:r w:rsidRPr="004A040D">
                    <w:rPr>
                      <w:rFonts w:ascii="Times New Roman" w:eastAsia="Times New Roman" w:hAnsi="Times New Roman" w:cs="Times New Roman"/>
                      <w:color w:val="505050"/>
                      <w:sz w:val="24"/>
                      <w:szCs w:val="24"/>
                    </w:rPr>
                    <w:t>. </w:t>
                  </w:r>
                </w:p>
              </w:tc>
            </w:tr>
          </w:tbl>
          <w:p w:rsidR="004A040D" w:rsidRPr="004A040D" w:rsidRDefault="004A040D" w:rsidP="004A040D">
            <w:pPr>
              <w:spacing w:after="0" w:line="240" w:lineRule="auto"/>
              <w:rPr>
                <w:rFonts w:ascii="Times New Roman" w:eastAsia="Times New Roman" w:hAnsi="Times New Roman" w:cs="Times New Roman"/>
                <w:sz w:val="24"/>
                <w:szCs w:val="24"/>
              </w:rPr>
            </w:pPr>
          </w:p>
        </w:tc>
      </w:tr>
    </w:tbl>
    <w:p w:rsidR="004A040D" w:rsidRPr="004A040D" w:rsidRDefault="004A040D" w:rsidP="004A040D">
      <w:pPr>
        <w:spacing w:after="0" w:line="240" w:lineRule="auto"/>
        <w:jc w:val="center"/>
        <w:rPr>
          <w:rFonts w:ascii="Times New Roman" w:eastAsia="Times New Roman" w:hAnsi="Times New Roman" w:cs="Times New Roman"/>
          <w:sz w:val="24"/>
          <w:szCs w:val="24"/>
        </w:rPr>
      </w:pPr>
      <w:r w:rsidRPr="004A040D">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210"/>
      </w:tblGrid>
      <w:tr w:rsidR="004A040D" w:rsidRPr="004A040D" w:rsidTr="004A040D">
        <w:trPr>
          <w:tblCellSpacing w:w="15" w:type="dxa"/>
        </w:trPr>
        <w:tc>
          <w:tcPr>
            <w:tcW w:w="9000" w:type="dxa"/>
            <w:vAlign w:val="center"/>
            <w:hideMark/>
          </w:tcPr>
          <w:tbl>
            <w:tblPr>
              <w:tblW w:w="0" w:type="auto"/>
              <w:tblCellSpacing w:w="15" w:type="dxa"/>
              <w:tblCellMar>
                <w:top w:w="15" w:type="dxa"/>
                <w:left w:w="15" w:type="dxa"/>
                <w:bottom w:w="15" w:type="dxa"/>
                <w:right w:w="15" w:type="dxa"/>
              </w:tblCellMar>
              <w:tblLook w:val="04A0"/>
            </w:tblPr>
            <w:tblGrid>
              <w:gridCol w:w="9060"/>
            </w:tblGrid>
            <w:tr w:rsidR="004A040D" w:rsidRPr="004A040D">
              <w:trPr>
                <w:tblCellSpacing w:w="15" w:type="dxa"/>
              </w:trPr>
              <w:tc>
                <w:tcPr>
                  <w:tcW w:w="9000" w:type="dxa"/>
                  <w:vAlign w:val="center"/>
                  <w:hideMark/>
                </w:tcPr>
                <w:p w:rsidR="004A040D" w:rsidRPr="004A040D" w:rsidRDefault="004A040D" w:rsidP="004A040D">
                  <w:pPr>
                    <w:spacing w:after="0" w:line="240" w:lineRule="auto"/>
                    <w:rPr>
                      <w:rFonts w:ascii="Times New Roman" w:eastAsia="Times New Roman" w:hAnsi="Times New Roman" w:cs="Times New Roman"/>
                      <w:sz w:val="24"/>
                      <w:szCs w:val="24"/>
                    </w:rPr>
                  </w:pPr>
                </w:p>
              </w:tc>
            </w:tr>
          </w:tbl>
          <w:p w:rsidR="004A040D" w:rsidRPr="004A040D" w:rsidRDefault="004A040D" w:rsidP="004A040D">
            <w:pPr>
              <w:spacing w:after="0" w:line="240" w:lineRule="auto"/>
              <w:rPr>
                <w:rFonts w:ascii="Times New Roman" w:eastAsia="Times New Roman" w:hAnsi="Times New Roman" w:cs="Times New Roman"/>
                <w:sz w:val="24"/>
                <w:szCs w:val="24"/>
              </w:rPr>
            </w:pPr>
          </w:p>
        </w:tc>
      </w:tr>
      <w:tr w:rsidR="004A040D" w:rsidRPr="004A040D" w:rsidTr="004A040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075"/>
              <w:gridCol w:w="3015"/>
              <w:gridCol w:w="3030"/>
            </w:tblGrid>
            <w:tr w:rsidR="004A040D" w:rsidRPr="004A040D">
              <w:trPr>
                <w:tblCellSpacing w:w="15" w:type="dxa"/>
              </w:trPr>
              <w:tc>
                <w:tcPr>
                  <w:tcW w:w="9000" w:type="dxa"/>
                  <w:gridSpan w:val="3"/>
                  <w:vAlign w:val="center"/>
                  <w:hideMark/>
                </w:tcPr>
                <w:tbl>
                  <w:tblPr>
                    <w:tblW w:w="0" w:type="auto"/>
                    <w:tblCellSpacing w:w="15" w:type="dxa"/>
                    <w:tblCellMar>
                      <w:top w:w="15" w:type="dxa"/>
                      <w:left w:w="15" w:type="dxa"/>
                      <w:bottom w:w="15" w:type="dxa"/>
                      <w:right w:w="15" w:type="dxa"/>
                    </w:tblCellMar>
                    <w:tblLook w:val="04A0"/>
                  </w:tblPr>
                  <w:tblGrid>
                    <w:gridCol w:w="9030"/>
                  </w:tblGrid>
                  <w:tr w:rsidR="004A040D" w:rsidRPr="004A040D">
                    <w:trPr>
                      <w:tblCellSpacing w:w="15" w:type="dxa"/>
                    </w:trPr>
                    <w:tc>
                      <w:tcPr>
                        <w:tcW w:w="9000" w:type="dxa"/>
                        <w:vAlign w:val="center"/>
                        <w:hideMark/>
                      </w:tcPr>
                      <w:p w:rsidR="004A040D" w:rsidRPr="004A040D" w:rsidRDefault="004A040D" w:rsidP="004A040D">
                        <w:pPr>
                          <w:spacing w:after="0" w:line="240" w:lineRule="auto"/>
                          <w:jc w:val="center"/>
                          <w:rPr>
                            <w:rFonts w:ascii="Times New Roman" w:eastAsia="Times New Roman" w:hAnsi="Times New Roman" w:cs="Times New Roman"/>
                            <w:sz w:val="24"/>
                            <w:szCs w:val="24"/>
                          </w:rPr>
                        </w:pPr>
                        <w:r w:rsidRPr="004A040D">
                          <w:rPr>
                            <w:rFonts w:ascii="Times New Roman" w:eastAsia="Times New Roman" w:hAnsi="Times New Roman" w:cs="Times New Roman"/>
                            <w:b/>
                            <w:bCs/>
                            <w:color w:val="EB1E26"/>
                            <w:sz w:val="40"/>
                            <w:szCs w:val="40"/>
                          </w:rPr>
                          <w:t>New York and Ohio Physicians</w:t>
                        </w:r>
                        <w:r w:rsidRPr="004A040D">
                          <w:rPr>
                            <w:rFonts w:ascii="Times New Roman" w:eastAsia="Times New Roman" w:hAnsi="Times New Roman" w:cs="Times New Roman"/>
                            <w:b/>
                            <w:bCs/>
                            <w:color w:val="EB1E26"/>
                            <w:sz w:val="40"/>
                            <w:szCs w:val="40"/>
                          </w:rPr>
                          <w:br/>
                          <w:t>Pass Resolutions Opposing MOC &amp; MOL</w:t>
                        </w:r>
                        <w:r w:rsidRPr="004A040D">
                          <w:rPr>
                            <w:rFonts w:ascii="Times New Roman" w:eastAsia="Times New Roman" w:hAnsi="Times New Roman" w:cs="Times New Roman"/>
                            <w:b/>
                            <w:bCs/>
                            <w:color w:val="EB1E26"/>
                            <w:sz w:val="40"/>
                            <w:szCs w:val="40"/>
                          </w:rPr>
                          <w:br/>
                        </w:r>
                        <w:hyperlink r:id="rId6" w:history="1">
                          <w:r w:rsidRPr="004A040D">
                            <w:rPr>
                              <w:rFonts w:ascii="Times New Roman" w:eastAsia="Times New Roman" w:hAnsi="Times New Roman" w:cs="Times New Roman"/>
                              <w:color w:val="EB1E26"/>
                              <w:u w:val="single"/>
                            </w:rPr>
                            <w:t>CLICK HERE to read online and comment</w:t>
                          </w:r>
                        </w:hyperlink>
                        <w:r w:rsidRPr="004A040D">
                          <w:rPr>
                            <w:rFonts w:ascii="Times New Roman" w:eastAsia="Times New Roman" w:hAnsi="Times New Roman" w:cs="Times New Roman"/>
                            <w:b/>
                            <w:bCs/>
                            <w:color w:val="EB1E26"/>
                            <w:sz w:val="40"/>
                            <w:szCs w:val="40"/>
                          </w:rPr>
                          <w:br/>
                        </w:r>
                        <w:r w:rsidRPr="004A040D">
                          <w:rPr>
                            <w:rFonts w:ascii="Times New Roman" w:eastAsia="Times New Roman" w:hAnsi="Times New Roman" w:cs="Times New Roman"/>
                            <w:b/>
                            <w:bCs/>
                            <w:color w:val="EB1E26"/>
                            <w:sz w:val="40"/>
                            <w:szCs w:val="40"/>
                          </w:rPr>
                          <w:br/>
                        </w:r>
                        <w:r w:rsidRPr="004A040D">
                          <w:rPr>
                            <w:rFonts w:ascii="Times New Roman" w:eastAsia="Times New Roman" w:hAnsi="Times New Roman" w:cs="Times New Roman"/>
                            <w:color w:val="333333"/>
                          </w:rPr>
                          <w:t>New York State is the latest state to oppose the Federation of State Medical Board’s (FSMB) new maintenance of licensure requirements (MOL) which are planned for implementation in all states.</w:t>
                        </w:r>
                        <w:r w:rsidRPr="004A040D">
                          <w:rPr>
                            <w:rFonts w:ascii="Times New Roman" w:eastAsia="Times New Roman" w:hAnsi="Times New Roman" w:cs="Times New Roman"/>
                            <w:color w:val="333333"/>
                          </w:rPr>
                          <w:br/>
                          <w:t>At the 2013 Medical Society State of New York House of Delegates meeting, the following MOC/MOL resolutions were adopted.</w:t>
                        </w:r>
                        <w:r w:rsidRPr="004A040D">
                          <w:rPr>
                            <w:rFonts w:ascii="Times New Roman" w:eastAsia="Times New Roman" w:hAnsi="Times New Roman" w:cs="Times New Roman"/>
                            <w:color w:val="333333"/>
                          </w:rPr>
                          <w:br/>
                          <w:t> </w:t>
                        </w:r>
                        <w:r w:rsidRPr="004A040D">
                          <w:rPr>
                            <w:rFonts w:ascii="Times New Roman" w:eastAsia="Times New Roman" w:hAnsi="Times New Roman" w:cs="Times New Roman"/>
                            <w:color w:val="333333"/>
                          </w:rPr>
                          <w:br/>
                          <w:t>Maintenance of Licensure (MOL): </w:t>
                        </w:r>
                        <w:r w:rsidRPr="004A040D">
                          <w:rPr>
                            <w:rFonts w:ascii="Times New Roman" w:eastAsia="Times New Roman" w:hAnsi="Times New Roman" w:cs="Times New Roman"/>
                            <w:color w:val="333333"/>
                          </w:rPr>
                          <w:br/>
                        </w:r>
                        <w:r w:rsidRPr="004A040D">
                          <w:rPr>
                            <w:rFonts w:ascii="Times New Roman" w:eastAsia="Times New Roman" w:hAnsi="Times New Roman" w:cs="Times New Roman"/>
                            <w:b/>
                            <w:bCs/>
                            <w:color w:val="333333"/>
                          </w:rPr>
                          <w:t>RESOLVED, That MSSNY oppose any efforts by the New York State Education Department, Office of the Professions, to require the Federation of State Medical Boards (FSMB) maintenance of licensure (MOL) program as a condition of medical licensure.</w:t>
                        </w:r>
                        <w:r w:rsidRPr="004A040D">
                          <w:rPr>
                            <w:rFonts w:ascii="Times New Roman" w:eastAsia="Times New Roman" w:hAnsi="Times New Roman" w:cs="Times New Roman"/>
                            <w:b/>
                            <w:bCs/>
                            <w:color w:val="333333"/>
                          </w:rPr>
                          <w:br/>
                        </w:r>
                        <w:r w:rsidRPr="004A040D">
                          <w:rPr>
                            <w:rFonts w:ascii="Times New Roman" w:eastAsia="Times New Roman" w:hAnsi="Times New Roman" w:cs="Times New Roman"/>
                            <w:color w:val="333333"/>
                          </w:rPr>
                          <w:t>Maintenance of Certification (MOC): </w:t>
                        </w:r>
                        <w:r w:rsidRPr="004A040D">
                          <w:rPr>
                            <w:rFonts w:ascii="Times New Roman" w:eastAsia="Times New Roman" w:hAnsi="Times New Roman" w:cs="Times New Roman"/>
                            <w:color w:val="333333"/>
                          </w:rPr>
                          <w:br/>
                        </w:r>
                        <w:r w:rsidRPr="004A040D">
                          <w:rPr>
                            <w:rFonts w:ascii="Times New Roman" w:eastAsia="Times New Roman" w:hAnsi="Times New Roman" w:cs="Times New Roman"/>
                            <w:b/>
                            <w:bCs/>
                            <w:color w:val="333333"/>
                          </w:rPr>
                          <w:t>RESOLVED, That the Medical Society of the State of New York acknowledges that the certification requirements within the Maintenance of Certification process are costly, time intensive and result in significant disruptions to the availability of physicians for patient care; and be it further</w:t>
                        </w:r>
                        <w:r w:rsidRPr="004A040D">
                          <w:rPr>
                            <w:rFonts w:ascii="Times New Roman" w:eastAsia="Times New Roman" w:hAnsi="Times New Roman" w:cs="Times New Roman"/>
                            <w:color w:val="333333"/>
                          </w:rPr>
                          <w:t> </w:t>
                        </w:r>
                        <w:r w:rsidRPr="004A040D">
                          <w:rPr>
                            <w:rFonts w:ascii="Times New Roman" w:eastAsia="Times New Roman" w:hAnsi="Times New Roman" w:cs="Times New Roman"/>
                            <w:color w:val="333333"/>
                          </w:rPr>
                          <w:br/>
                        </w:r>
                        <w:r w:rsidRPr="004A040D">
                          <w:rPr>
                            <w:rFonts w:ascii="Times New Roman" w:eastAsia="Times New Roman" w:hAnsi="Times New Roman" w:cs="Times New Roman"/>
                            <w:color w:val="333333"/>
                          </w:rPr>
                          <w:br/>
                        </w:r>
                        <w:r w:rsidRPr="004A040D">
                          <w:rPr>
                            <w:rFonts w:ascii="Times New Roman" w:eastAsia="Times New Roman" w:hAnsi="Times New Roman" w:cs="Times New Roman"/>
                            <w:b/>
                            <w:bCs/>
                            <w:color w:val="333333"/>
                          </w:rPr>
                          <w:t>RESOLVED, That MSSNY acknowledges and affirms the professionalism of individual physicians to self-determine the best means and methods for maintenance of their knowledge and skills; and be it further</w:t>
                        </w:r>
                        <w:r w:rsidRPr="004A040D">
                          <w:rPr>
                            <w:rFonts w:ascii="Times New Roman" w:eastAsia="Times New Roman" w:hAnsi="Times New Roman" w:cs="Times New Roman"/>
                            <w:b/>
                            <w:bCs/>
                            <w:color w:val="333333"/>
                          </w:rPr>
                          <w:br/>
                        </w:r>
                        <w:r w:rsidRPr="004A040D">
                          <w:rPr>
                            <w:rFonts w:ascii="Times New Roman" w:eastAsia="Times New Roman" w:hAnsi="Times New Roman" w:cs="Times New Roman"/>
                            <w:color w:val="333333"/>
                          </w:rPr>
                          <w:t> </w:t>
                        </w:r>
                        <w:r w:rsidRPr="004A040D">
                          <w:rPr>
                            <w:rFonts w:ascii="Times New Roman" w:eastAsia="Times New Roman" w:hAnsi="Times New Roman" w:cs="Times New Roman"/>
                            <w:color w:val="333333"/>
                          </w:rPr>
                          <w:br/>
                        </w:r>
                        <w:r w:rsidRPr="004A040D">
                          <w:rPr>
                            <w:rFonts w:ascii="Times New Roman" w:eastAsia="Times New Roman" w:hAnsi="Times New Roman" w:cs="Times New Roman"/>
                            <w:b/>
                            <w:bCs/>
                            <w:color w:val="333333"/>
                          </w:rPr>
                          <w:t>RESOLVED, That MSSNY communicate to the American Medical Association (AMA) and American Board of Medical Specialties (ABMS) examples of disproportional fees, onerous time requirements and unnecessary fragmentation of commonly recognized specialties; and be it further</w:t>
                        </w:r>
                        <w:r w:rsidRPr="004A040D">
                          <w:rPr>
                            <w:rFonts w:ascii="Times New Roman" w:eastAsia="Times New Roman" w:hAnsi="Times New Roman" w:cs="Times New Roman"/>
                            <w:color w:val="333333"/>
                          </w:rPr>
                          <w:t> </w:t>
                        </w:r>
                        <w:r w:rsidRPr="004A040D">
                          <w:rPr>
                            <w:rFonts w:ascii="Times New Roman" w:eastAsia="Times New Roman" w:hAnsi="Times New Roman" w:cs="Times New Roman"/>
                            <w:color w:val="333333"/>
                          </w:rPr>
                          <w:br/>
                        </w:r>
                        <w:r w:rsidRPr="004A040D">
                          <w:rPr>
                            <w:rFonts w:ascii="Times New Roman" w:eastAsia="Times New Roman" w:hAnsi="Times New Roman" w:cs="Times New Roman"/>
                            <w:color w:val="333333"/>
                          </w:rPr>
                          <w:br/>
                        </w:r>
                        <w:r w:rsidRPr="004A040D">
                          <w:rPr>
                            <w:rFonts w:ascii="Times New Roman" w:eastAsia="Times New Roman" w:hAnsi="Times New Roman" w:cs="Times New Roman"/>
                            <w:b/>
                            <w:bCs/>
                            <w:color w:val="333333"/>
                          </w:rPr>
                          <w:t>RESOLVED, That MSSNY oppose mandating Maintenance of Certification until such time as evidence-based research demonstrates MOC is linked to improved patient outcomes; and be it further</w:t>
                        </w:r>
                        <w:r w:rsidRPr="004A040D">
                          <w:rPr>
                            <w:rFonts w:ascii="Times New Roman" w:eastAsia="Times New Roman" w:hAnsi="Times New Roman" w:cs="Times New Roman"/>
                            <w:color w:val="333333"/>
                          </w:rPr>
                          <w:t> </w:t>
                        </w:r>
                        <w:r w:rsidRPr="004A040D">
                          <w:rPr>
                            <w:rFonts w:ascii="Times New Roman" w:eastAsia="Times New Roman" w:hAnsi="Times New Roman" w:cs="Times New Roman"/>
                            <w:color w:val="333333"/>
                          </w:rPr>
                          <w:br/>
                        </w:r>
                        <w:r w:rsidRPr="004A040D">
                          <w:rPr>
                            <w:rFonts w:ascii="Times New Roman" w:eastAsia="Times New Roman" w:hAnsi="Times New Roman" w:cs="Times New Roman"/>
                            <w:color w:val="333333"/>
                          </w:rPr>
                          <w:br/>
                        </w:r>
                        <w:r w:rsidRPr="004A040D">
                          <w:rPr>
                            <w:rFonts w:ascii="Times New Roman" w:eastAsia="Times New Roman" w:hAnsi="Times New Roman" w:cs="Times New Roman"/>
                            <w:b/>
                            <w:bCs/>
                            <w:color w:val="333333"/>
                          </w:rPr>
                          <w:t>RESOLVED, That a copy of this resolution be transmitted to the AMA House of Delegates for its consideration.</w:t>
                        </w:r>
                        <w:r w:rsidRPr="004A040D">
                          <w:rPr>
                            <w:rFonts w:ascii="Times New Roman" w:eastAsia="Times New Roman" w:hAnsi="Times New Roman" w:cs="Times New Roman"/>
                            <w:b/>
                            <w:bCs/>
                            <w:color w:val="333333"/>
                          </w:rPr>
                          <w:br/>
                        </w:r>
                        <w:r w:rsidRPr="004A040D">
                          <w:rPr>
                            <w:rFonts w:ascii="Times New Roman" w:eastAsia="Times New Roman" w:hAnsi="Times New Roman" w:cs="Times New Roman"/>
                            <w:color w:val="333333"/>
                          </w:rPr>
                          <w:t>AAPS encourages more physicians to work within their local and State Medical Societies to pass resolutions opposing mandatory maintenance of certification and the new onerous FSMB maintenance of licensure requirements. </w:t>
                        </w:r>
                        <w:r w:rsidRPr="004A040D">
                          <w:rPr>
                            <w:rFonts w:ascii="Times New Roman" w:eastAsia="Times New Roman" w:hAnsi="Times New Roman" w:cs="Times New Roman"/>
                            <w:color w:val="333333"/>
                          </w:rPr>
                          <w:br/>
                          <w:t> </w:t>
                        </w:r>
                        <w:r w:rsidRPr="004A040D">
                          <w:rPr>
                            <w:rFonts w:ascii="Times New Roman" w:eastAsia="Times New Roman" w:hAnsi="Times New Roman" w:cs="Times New Roman"/>
                            <w:color w:val="333333"/>
                          </w:rPr>
                          <w:br/>
                          <w:t>Here is a model letter which physicians can copy or modify for use in educating other physicians in your area and in your state about MOC and MOL:</w:t>
                        </w:r>
                        <w:r w:rsidRPr="004A040D">
                          <w:rPr>
                            <w:rFonts w:ascii="Times New Roman" w:eastAsia="Times New Roman" w:hAnsi="Times New Roman" w:cs="Times New Roman"/>
                            <w:color w:val="333333"/>
                          </w:rPr>
                          <w:br/>
                          <w:t> </w:t>
                        </w:r>
                        <w:r w:rsidRPr="004A040D">
                          <w:rPr>
                            <w:rFonts w:ascii="Times New Roman" w:eastAsia="Times New Roman" w:hAnsi="Times New Roman" w:cs="Times New Roman"/>
                            <w:color w:val="333333"/>
                          </w:rPr>
                          <w:br/>
                        </w:r>
                        <w:hyperlink r:id="rId7" w:history="1">
                          <w:r w:rsidRPr="004A040D">
                            <w:rPr>
                              <w:rFonts w:ascii="Times New Roman" w:eastAsia="Times New Roman" w:hAnsi="Times New Roman" w:cs="Times New Roman"/>
                              <w:color w:val="EB1E26"/>
                              <w:u w:val="single"/>
                            </w:rPr>
                            <w:t>http://www.aapsonline.org/index.php/article/action_alert_stop_moc_mol_in_new_york_state/</w:t>
                          </w:r>
                        </w:hyperlink>
                        <w:r w:rsidRPr="004A040D">
                          <w:rPr>
                            <w:rFonts w:ascii="Times New Roman" w:eastAsia="Times New Roman" w:hAnsi="Times New Roman" w:cs="Times New Roman"/>
                            <w:color w:val="333333"/>
                          </w:rPr>
                          <w:br/>
                          <w:t> </w:t>
                        </w:r>
                        <w:r w:rsidRPr="004A040D">
                          <w:rPr>
                            <w:rFonts w:ascii="Times New Roman" w:eastAsia="Times New Roman" w:hAnsi="Times New Roman" w:cs="Times New Roman"/>
                            <w:color w:val="333333"/>
                          </w:rPr>
                          <w:br/>
                          <w:t>Here are model MOC/MOL resolutions which can be used or modified for submission to your county and state medical societies:</w:t>
                        </w:r>
                      </w:p>
                      <w:p w:rsidR="004A040D" w:rsidRPr="004A040D" w:rsidRDefault="004A040D" w:rsidP="004A040D">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hyperlink r:id="rId8" w:history="1">
                          <w:r w:rsidRPr="004A040D">
                            <w:rPr>
                              <w:rFonts w:ascii="Times New Roman" w:eastAsia="Times New Roman" w:hAnsi="Times New Roman" w:cs="Times New Roman"/>
                              <w:color w:val="EB1E26"/>
                              <w:u w:val="single"/>
                            </w:rPr>
                            <w:t>Model Resolution Opposing MOC (Word format)</w:t>
                          </w:r>
                        </w:hyperlink>
                        <w:r w:rsidRPr="004A040D">
                          <w:rPr>
                            <w:rFonts w:ascii="Times New Roman" w:eastAsia="Times New Roman" w:hAnsi="Times New Roman" w:cs="Times New Roman"/>
                            <w:color w:val="333333"/>
                          </w:rPr>
                          <w:t> </w:t>
                        </w:r>
                      </w:p>
                      <w:p w:rsidR="004A040D" w:rsidRPr="004A040D" w:rsidRDefault="004A040D" w:rsidP="004A040D">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hyperlink r:id="rId9" w:history="1">
                          <w:r w:rsidRPr="004A040D">
                            <w:rPr>
                              <w:rFonts w:ascii="Times New Roman" w:eastAsia="Times New Roman" w:hAnsi="Times New Roman" w:cs="Times New Roman"/>
                              <w:color w:val="EB1E26"/>
                              <w:u w:val="single"/>
                            </w:rPr>
                            <w:t>Model Resolution Opposing MOL (Word format)</w:t>
                          </w:r>
                        </w:hyperlink>
                        <w:r w:rsidRPr="004A040D">
                          <w:rPr>
                            <w:rFonts w:ascii="Times New Roman" w:eastAsia="Times New Roman" w:hAnsi="Times New Roman" w:cs="Times New Roman"/>
                            <w:color w:val="333333"/>
                          </w:rPr>
                          <w:t> </w:t>
                        </w:r>
                      </w:p>
                      <w:p w:rsidR="004A040D" w:rsidRPr="004A040D" w:rsidRDefault="004A040D" w:rsidP="004A040D">
                        <w:pPr>
                          <w:spacing w:after="0" w:line="240" w:lineRule="auto"/>
                          <w:rPr>
                            <w:rFonts w:ascii="Times New Roman" w:eastAsia="Times New Roman" w:hAnsi="Times New Roman" w:cs="Times New Roman"/>
                            <w:sz w:val="24"/>
                            <w:szCs w:val="24"/>
                          </w:rPr>
                        </w:pPr>
                        <w:r w:rsidRPr="004A040D">
                          <w:rPr>
                            <w:rFonts w:ascii="Times New Roman" w:eastAsia="Times New Roman" w:hAnsi="Times New Roman" w:cs="Times New Roman"/>
                            <w:sz w:val="24"/>
                            <w:szCs w:val="24"/>
                          </w:rPr>
                          <w:br/>
                        </w:r>
                        <w:r w:rsidRPr="004A040D">
                          <w:rPr>
                            <w:rFonts w:ascii="Times New Roman" w:eastAsia="Times New Roman" w:hAnsi="Times New Roman" w:cs="Times New Roman"/>
                            <w:sz w:val="24"/>
                            <w:szCs w:val="24"/>
                          </w:rPr>
                          <w:br/>
                        </w:r>
                        <w:r w:rsidRPr="004A040D">
                          <w:rPr>
                            <w:rFonts w:ascii="Times New Roman" w:eastAsia="Times New Roman" w:hAnsi="Times New Roman" w:cs="Times New Roman"/>
                            <w:b/>
                            <w:bCs/>
                            <w:color w:val="333333"/>
                          </w:rPr>
                          <w:t>Ohio Physicians Recently Adopted Yet Another Resolution in Opposition to Mandatory MOC</w:t>
                        </w:r>
                        <w:proofErr w:type="gramStart"/>
                        <w:r w:rsidRPr="004A040D">
                          <w:rPr>
                            <w:rFonts w:ascii="Times New Roman" w:eastAsia="Times New Roman" w:hAnsi="Times New Roman" w:cs="Times New Roman"/>
                            <w:b/>
                            <w:bCs/>
                            <w:color w:val="333333"/>
                          </w:rPr>
                          <w:t>:</w:t>
                        </w:r>
                        <w:proofErr w:type="gramEnd"/>
                        <w:r w:rsidRPr="004A040D">
                          <w:rPr>
                            <w:rFonts w:ascii="Times New Roman" w:eastAsia="Times New Roman" w:hAnsi="Times New Roman" w:cs="Times New Roman"/>
                            <w:b/>
                            <w:bCs/>
                            <w:color w:val="333333"/>
                          </w:rPr>
                          <w:br/>
                          <w:t>RESOLVED, That the Ohio State Medical Association (OSMA) insists that lack of specialty board certification does not restrict the ability of the physician to practice medicine in Ohio.</w:t>
                        </w:r>
                        <w:r w:rsidRPr="004A040D">
                          <w:rPr>
                            <w:rFonts w:ascii="Times New Roman" w:eastAsia="Times New Roman" w:hAnsi="Times New Roman" w:cs="Times New Roman"/>
                            <w:b/>
                            <w:bCs/>
                            <w:color w:val="333333"/>
                          </w:rPr>
                          <w:br/>
                        </w:r>
                        <w:r w:rsidRPr="004A040D">
                          <w:rPr>
                            <w:rFonts w:ascii="Times New Roman" w:eastAsia="Times New Roman" w:hAnsi="Times New Roman" w:cs="Times New Roman"/>
                            <w:color w:val="333333"/>
                          </w:rPr>
                          <w:t>Last year, </w:t>
                        </w:r>
                        <w:hyperlink r:id="rId10" w:history="1">
                          <w:r w:rsidRPr="004A040D">
                            <w:rPr>
                              <w:rFonts w:ascii="Times New Roman" w:eastAsia="Times New Roman" w:hAnsi="Times New Roman" w:cs="Times New Roman"/>
                              <w:color w:val="EB1E26"/>
                              <w:u w:val="single"/>
                            </w:rPr>
                            <w:t>Ohio Physicians passed a resolution opposing</w:t>
                          </w:r>
                        </w:hyperlink>
                        <w:r w:rsidRPr="004A040D">
                          <w:rPr>
                            <w:rFonts w:ascii="Times New Roman" w:eastAsia="Times New Roman" w:hAnsi="Times New Roman" w:cs="Times New Roman"/>
                            <w:color w:val="333333"/>
                          </w:rPr>
                          <w:t> maintenance of licensure which derailed attempts to impose onerous new MOL requirements on physicians. </w:t>
                        </w:r>
                        <w:r w:rsidRPr="004A040D">
                          <w:rPr>
                            <w:rFonts w:ascii="Times New Roman" w:eastAsia="Times New Roman" w:hAnsi="Times New Roman" w:cs="Times New Roman"/>
                            <w:color w:val="333333"/>
                          </w:rPr>
                          <w:br/>
                          <w:t> </w:t>
                        </w:r>
                        <w:r w:rsidRPr="004A040D">
                          <w:rPr>
                            <w:rFonts w:ascii="Times New Roman" w:eastAsia="Times New Roman" w:hAnsi="Times New Roman" w:cs="Times New Roman"/>
                            <w:color w:val="333333"/>
                          </w:rPr>
                          <w:br/>
                          <w:t>AAPS is currently conducting a survey to collect information on total actual costs imposed on physicians as a result of new MOC requirements. </w:t>
                        </w:r>
                        <w:r w:rsidRPr="004A040D">
                          <w:rPr>
                            <w:rFonts w:ascii="Times New Roman" w:eastAsia="Times New Roman" w:hAnsi="Times New Roman" w:cs="Times New Roman"/>
                            <w:color w:val="333333"/>
                          </w:rPr>
                          <w:br/>
                        </w:r>
                        <w:r w:rsidRPr="004A040D">
                          <w:rPr>
                            <w:rFonts w:ascii="Times New Roman" w:eastAsia="Times New Roman" w:hAnsi="Times New Roman" w:cs="Times New Roman"/>
                            <w:color w:val="333333"/>
                          </w:rPr>
                          <w:br/>
                        </w:r>
                        <w:r w:rsidRPr="004A040D">
                          <w:rPr>
                            <w:rFonts w:ascii="Times New Roman" w:eastAsia="Times New Roman" w:hAnsi="Times New Roman" w:cs="Times New Roman"/>
                            <w:b/>
                            <w:bCs/>
                            <w:color w:val="333333"/>
                          </w:rPr>
                          <w:t>If you currently participate in MOC, please take the time to take the survey: </w:t>
                        </w:r>
                        <w:hyperlink r:id="rId11" w:history="1">
                          <w:r w:rsidRPr="004A040D">
                            <w:rPr>
                              <w:rFonts w:ascii="Times New Roman" w:eastAsia="Times New Roman" w:hAnsi="Times New Roman" w:cs="Times New Roman"/>
                              <w:color w:val="EB1E26"/>
                              <w:u w:val="single"/>
                            </w:rPr>
                            <w:t>http://www.aapsonline.org/costofmoc</w:t>
                          </w:r>
                        </w:hyperlink>
                        <w:r w:rsidRPr="004A040D">
                          <w:rPr>
                            <w:rFonts w:ascii="Times New Roman" w:eastAsia="Times New Roman" w:hAnsi="Times New Roman" w:cs="Times New Roman"/>
                            <w:color w:val="333333"/>
                          </w:rPr>
                          <w:t>. And, please pass this link on to others. </w:t>
                        </w:r>
                        <w:r w:rsidRPr="004A040D">
                          <w:rPr>
                            <w:rFonts w:ascii="Times New Roman" w:eastAsia="Times New Roman" w:hAnsi="Times New Roman" w:cs="Times New Roman"/>
                            <w:color w:val="333333"/>
                          </w:rPr>
                          <w:br/>
                          <w:t> </w:t>
                        </w:r>
                        <w:r w:rsidRPr="004A040D">
                          <w:rPr>
                            <w:rFonts w:ascii="Times New Roman" w:eastAsia="Times New Roman" w:hAnsi="Times New Roman" w:cs="Times New Roman"/>
                            <w:color w:val="333333"/>
                          </w:rPr>
                          <w:br/>
                          <w:t>AAPS also </w:t>
                        </w:r>
                        <w:hyperlink r:id="rId12" w:history="1">
                          <w:r w:rsidRPr="004A040D">
                            <w:rPr>
                              <w:rFonts w:ascii="Times New Roman" w:eastAsia="Times New Roman" w:hAnsi="Times New Roman" w:cs="Times New Roman"/>
                              <w:color w:val="EB1E26"/>
                              <w:u w:val="single"/>
                            </w:rPr>
                            <w:t>has model legislation</w:t>
                          </w:r>
                        </w:hyperlink>
                        <w:r w:rsidRPr="004A040D">
                          <w:rPr>
                            <w:rFonts w:ascii="Times New Roman" w:eastAsia="Times New Roman" w:hAnsi="Times New Roman" w:cs="Times New Roman"/>
                            <w:color w:val="333333"/>
                          </w:rPr>
                          <w:t> for use in your state, to prohibit the medical board from imposing new MOL requirements.  We strongly encourage physicians to talk with your legislators and advocate for the passage</w:t>
                        </w:r>
                        <w:r w:rsidRPr="004A040D">
                          <w:rPr>
                            <w:rFonts w:ascii="Times New Roman" w:eastAsia="Times New Roman" w:hAnsi="Times New Roman" w:cs="Times New Roman"/>
                            <w:color w:val="333333"/>
                          </w:rPr>
                          <w:br/>
                          <w:t>of this legislation in your state.</w:t>
                        </w:r>
                        <w:r w:rsidRPr="004A040D">
                          <w:rPr>
                            <w:rFonts w:ascii="Times New Roman" w:eastAsia="Times New Roman" w:hAnsi="Times New Roman" w:cs="Times New Roman"/>
                            <w:color w:val="333333"/>
                          </w:rPr>
                          <w:br/>
                          <w:t> </w:t>
                        </w:r>
                        <w:r w:rsidRPr="004A040D">
                          <w:rPr>
                            <w:rFonts w:ascii="Times New Roman" w:eastAsia="Times New Roman" w:hAnsi="Times New Roman" w:cs="Times New Roman"/>
                            <w:color w:val="333333"/>
                          </w:rPr>
                          <w:br/>
                        </w:r>
                        <w:r w:rsidRPr="004A040D">
                          <w:rPr>
                            <w:rFonts w:ascii="Times New Roman" w:eastAsia="Times New Roman" w:hAnsi="Times New Roman" w:cs="Times New Roman"/>
                            <w:b/>
                            <w:bCs/>
                            <w:color w:val="333333"/>
                          </w:rPr>
                          <w:t xml:space="preserve">Also, see Dr. Paul </w:t>
                        </w:r>
                        <w:proofErr w:type="spellStart"/>
                        <w:r w:rsidRPr="004A040D">
                          <w:rPr>
                            <w:rFonts w:ascii="Times New Roman" w:eastAsia="Times New Roman" w:hAnsi="Times New Roman" w:cs="Times New Roman"/>
                            <w:b/>
                            <w:bCs/>
                            <w:color w:val="333333"/>
                          </w:rPr>
                          <w:t>Kempen’s</w:t>
                        </w:r>
                        <w:proofErr w:type="spellEnd"/>
                        <w:r w:rsidRPr="004A040D">
                          <w:rPr>
                            <w:rFonts w:ascii="Times New Roman" w:eastAsia="Times New Roman" w:hAnsi="Times New Roman" w:cs="Times New Roman"/>
                            <w:b/>
                            <w:bCs/>
                            <w:color w:val="333333"/>
                          </w:rPr>
                          <w:t xml:space="preserve"> latest article:</w:t>
                        </w:r>
                        <w:r w:rsidRPr="004A040D">
                          <w:rPr>
                            <w:rFonts w:ascii="Times New Roman" w:eastAsia="Times New Roman" w:hAnsi="Times New Roman" w:cs="Times New Roman"/>
                            <w:b/>
                            <w:bCs/>
                            <w:color w:val="333333"/>
                          </w:rPr>
                          <w:br/>
                        </w:r>
                        <w:r w:rsidRPr="004A040D">
                          <w:rPr>
                            <w:rFonts w:ascii="Times New Roman" w:eastAsia="Times New Roman" w:hAnsi="Times New Roman" w:cs="Times New Roman"/>
                            <w:color w:val="333333"/>
                          </w:rPr>
                          <w:t> </w:t>
                        </w:r>
                        <w:r w:rsidRPr="004A040D">
                          <w:rPr>
                            <w:rFonts w:ascii="Times New Roman" w:eastAsia="Times New Roman" w:hAnsi="Times New Roman" w:cs="Times New Roman"/>
                            <w:color w:val="333333"/>
                          </w:rPr>
                          <w:br/>
                        </w:r>
                        <w:r w:rsidRPr="004A040D">
                          <w:rPr>
                            <w:rFonts w:ascii="Times New Roman" w:eastAsia="Times New Roman" w:hAnsi="Times New Roman" w:cs="Times New Roman"/>
                            <w:b/>
                            <w:bCs/>
                            <w:color w:val="333333"/>
                          </w:rPr>
                          <w:t>"Maintenance of Certification – Important to and to Whom?"</w:t>
                        </w:r>
                        <w:r w:rsidRPr="004A040D">
                          <w:rPr>
                            <w:rFonts w:ascii="Times New Roman" w:eastAsia="Times New Roman" w:hAnsi="Times New Roman" w:cs="Times New Roman"/>
                            <w:b/>
                            <w:bCs/>
                            <w:color w:val="333333"/>
                          </w:rPr>
                          <w:br/>
                        </w:r>
                        <w:hyperlink r:id="rId13" w:history="1">
                          <w:r w:rsidRPr="004A040D">
                            <w:rPr>
                              <w:rFonts w:ascii="Times New Roman" w:eastAsia="Times New Roman" w:hAnsi="Times New Roman" w:cs="Times New Roman"/>
                              <w:color w:val="EB1E26"/>
                              <w:u w:val="single"/>
                            </w:rPr>
                            <w:t>http://www.jchimp.net/index.php/jchimp/article/view/20326</w:t>
                          </w:r>
                        </w:hyperlink>
                        <w:r w:rsidRPr="004A040D">
                          <w:rPr>
                            <w:rFonts w:ascii="Times New Roman" w:eastAsia="Times New Roman" w:hAnsi="Times New Roman" w:cs="Times New Roman"/>
                            <w:b/>
                            <w:bCs/>
                            <w:color w:val="333333"/>
                          </w:rPr>
                          <w:br/>
                        </w:r>
                        <w:r w:rsidRPr="004A040D">
                          <w:rPr>
                            <w:rFonts w:ascii="Times New Roman" w:eastAsia="Times New Roman" w:hAnsi="Times New Roman" w:cs="Times New Roman"/>
                            <w:b/>
                            <w:bCs/>
                            <w:color w:val="333333"/>
                          </w:rPr>
                          <w:br/>
                        </w:r>
                        <w:r w:rsidRPr="004A040D">
                          <w:rPr>
                            <w:rFonts w:ascii="Times New Roman" w:eastAsia="Times New Roman" w:hAnsi="Times New Roman" w:cs="Times New Roman"/>
                            <w:color w:val="333333"/>
                          </w:rPr>
                          <w:t>Other physician-created resources to help you oppose MOC, OCC, &amp; MOL can be found at </w:t>
                        </w:r>
                        <w:hyperlink r:id="rId14" w:history="1">
                          <w:r w:rsidRPr="004A040D">
                            <w:rPr>
                              <w:rFonts w:ascii="Times New Roman" w:eastAsia="Times New Roman" w:hAnsi="Times New Roman" w:cs="Times New Roman"/>
                              <w:color w:val="EB1E26"/>
                              <w:u w:val="single"/>
                            </w:rPr>
                            <w:t>http://changeboardrecert.com</w:t>
                          </w:r>
                        </w:hyperlink>
                        <w:r w:rsidRPr="004A040D">
                          <w:rPr>
                            <w:rFonts w:ascii="Times New Roman" w:eastAsia="Times New Roman" w:hAnsi="Times New Roman" w:cs="Times New Roman"/>
                            <w:color w:val="333333"/>
                          </w:rPr>
                          <w:t> and </w:t>
                        </w:r>
                        <w:hyperlink r:id="rId15" w:history="1">
                          <w:r w:rsidRPr="004A040D">
                            <w:rPr>
                              <w:rFonts w:ascii="Times New Roman" w:eastAsia="Times New Roman" w:hAnsi="Times New Roman" w:cs="Times New Roman"/>
                              <w:color w:val="EB1E26"/>
                              <w:u w:val="single"/>
                            </w:rPr>
                            <w:t>http://ip4pi.wordpress.com/</w:t>
                          </w:r>
                        </w:hyperlink>
                        <w:r w:rsidRPr="004A040D">
                          <w:rPr>
                            <w:rFonts w:ascii="Times New Roman" w:eastAsia="Times New Roman" w:hAnsi="Times New Roman" w:cs="Times New Roman"/>
                            <w:color w:val="333333"/>
                          </w:rPr>
                          <w:t>.</w:t>
                        </w:r>
                        <w:r w:rsidRPr="004A040D">
                          <w:rPr>
                            <w:rFonts w:ascii="Times New Roman" w:eastAsia="Times New Roman" w:hAnsi="Times New Roman" w:cs="Times New Roman"/>
                            <w:color w:val="333333"/>
                          </w:rPr>
                          <w:br/>
                          <w:t> </w:t>
                        </w:r>
                        <w:r w:rsidRPr="004A040D">
                          <w:rPr>
                            <w:rFonts w:ascii="Times New Roman" w:eastAsia="Times New Roman" w:hAnsi="Times New Roman" w:cs="Times New Roman"/>
                            <w:color w:val="333333"/>
                          </w:rPr>
                          <w:br/>
                        </w:r>
                        <w:r w:rsidRPr="004A040D">
                          <w:rPr>
                            <w:rFonts w:ascii="Times New Roman" w:eastAsia="Times New Roman" w:hAnsi="Times New Roman" w:cs="Times New Roman"/>
                            <w:b/>
                            <w:bCs/>
                            <w:color w:val="333333"/>
                          </w:rPr>
                          <w:t>AAPS </w:t>
                        </w:r>
                        <w:hyperlink r:id="rId16" w:history="1">
                          <w:r w:rsidRPr="004A040D">
                            <w:rPr>
                              <w:rFonts w:ascii="Times New Roman" w:eastAsia="Times New Roman" w:hAnsi="Times New Roman" w:cs="Times New Roman"/>
                              <w:color w:val="EB1E26"/>
                              <w:u w:val="single"/>
                            </w:rPr>
                            <w:t>is taking action</w:t>
                          </w:r>
                        </w:hyperlink>
                        <w:r w:rsidRPr="004A040D">
                          <w:rPr>
                            <w:rFonts w:ascii="Times New Roman" w:eastAsia="Times New Roman" w:hAnsi="Times New Roman" w:cs="Times New Roman"/>
                            <w:b/>
                            <w:bCs/>
                            <w:color w:val="333333"/>
                          </w:rPr>
                          <w:t> to prevent onerous and unwarranted requirements from being imposed on physicians, but we need your help and support. </w:t>
                        </w:r>
                        <w:r w:rsidRPr="004A040D">
                          <w:rPr>
                            <w:rFonts w:ascii="Times New Roman" w:eastAsia="Times New Roman" w:hAnsi="Times New Roman" w:cs="Times New Roman"/>
                            <w:b/>
                            <w:bCs/>
                            <w:color w:val="333333"/>
                          </w:rPr>
                          <w:br/>
                        </w:r>
                        <w:r w:rsidRPr="004A040D">
                          <w:rPr>
                            <w:rFonts w:ascii="Times New Roman" w:eastAsia="Times New Roman" w:hAnsi="Times New Roman" w:cs="Times New Roman"/>
                            <w:color w:val="333333"/>
                          </w:rPr>
                          <w:t> </w:t>
                        </w:r>
                        <w:r w:rsidRPr="004A040D">
                          <w:rPr>
                            <w:rFonts w:ascii="Times New Roman" w:eastAsia="Times New Roman" w:hAnsi="Times New Roman" w:cs="Times New Roman"/>
                            <w:color w:val="333333"/>
                          </w:rPr>
                          <w:br/>
                        </w:r>
                        <w:r w:rsidRPr="004A040D">
                          <w:rPr>
                            <w:rFonts w:ascii="Times New Roman" w:eastAsia="Times New Roman" w:hAnsi="Times New Roman" w:cs="Times New Roman"/>
                            <w:b/>
                            <w:bCs/>
                            <w:color w:val="333333"/>
                          </w:rPr>
                          <w:t>Please note that </w:t>
                        </w:r>
                        <w:hyperlink r:id="rId17" w:history="1">
                          <w:r w:rsidRPr="004A040D">
                            <w:rPr>
                              <w:rFonts w:ascii="Times New Roman" w:eastAsia="Times New Roman" w:hAnsi="Times New Roman" w:cs="Times New Roman"/>
                              <w:color w:val="EB1E26"/>
                              <w:u w:val="single"/>
                            </w:rPr>
                            <w:t>donations to our American Health Legal Foundation</w:t>
                          </w:r>
                        </w:hyperlink>
                        <w:r w:rsidRPr="004A040D">
                          <w:rPr>
                            <w:rFonts w:ascii="Times New Roman" w:eastAsia="Times New Roman" w:hAnsi="Times New Roman" w:cs="Times New Roman"/>
                            <w:b/>
                            <w:bCs/>
                            <w:color w:val="333333"/>
                          </w:rPr>
                          <w:t> (AHLF) are tax-deductible. </w:t>
                        </w:r>
                        <w:r w:rsidRPr="004A040D">
                          <w:rPr>
                            <w:rFonts w:ascii="Times New Roman" w:eastAsia="Times New Roman" w:hAnsi="Times New Roman" w:cs="Times New Roman"/>
                            <w:b/>
                            <w:bCs/>
                            <w:color w:val="333333"/>
                          </w:rPr>
                          <w:br/>
                        </w:r>
                        <w:r w:rsidRPr="004A040D">
                          <w:rPr>
                            <w:rFonts w:ascii="Times New Roman" w:eastAsia="Times New Roman" w:hAnsi="Times New Roman" w:cs="Times New Roman"/>
                            <w:color w:val="333333"/>
                          </w:rPr>
                          <w:t> </w:t>
                        </w:r>
                      </w:p>
                    </w:tc>
                  </w:tr>
                </w:tbl>
                <w:p w:rsidR="004A040D" w:rsidRPr="004A040D" w:rsidRDefault="004A040D" w:rsidP="004A040D">
                  <w:pPr>
                    <w:spacing w:after="0" w:line="240" w:lineRule="auto"/>
                    <w:rPr>
                      <w:rFonts w:ascii="Times New Roman" w:eastAsia="Times New Roman" w:hAnsi="Times New Roman" w:cs="Times New Roman"/>
                      <w:sz w:val="24"/>
                      <w:szCs w:val="24"/>
                    </w:rPr>
                  </w:pPr>
                </w:p>
              </w:tc>
            </w:tr>
            <w:tr w:rsidR="004A040D" w:rsidRPr="004A040D">
              <w:trPr>
                <w:tblCellSpacing w:w="15" w:type="dxa"/>
              </w:trPr>
              <w:tc>
                <w:tcPr>
                  <w:tcW w:w="3030" w:type="dxa"/>
                  <w:vAlign w:val="center"/>
                  <w:hideMark/>
                </w:tcPr>
                <w:tbl>
                  <w:tblPr>
                    <w:tblW w:w="0" w:type="auto"/>
                    <w:tblCellSpacing w:w="15" w:type="dxa"/>
                    <w:tblCellMar>
                      <w:top w:w="15" w:type="dxa"/>
                      <w:left w:w="15" w:type="dxa"/>
                      <w:bottom w:w="15" w:type="dxa"/>
                      <w:right w:w="15" w:type="dxa"/>
                    </w:tblCellMar>
                    <w:tblLook w:val="04A0"/>
                  </w:tblPr>
                  <w:tblGrid>
                    <w:gridCol w:w="660"/>
                  </w:tblGrid>
                  <w:tr w:rsidR="004A040D" w:rsidRPr="004A040D">
                    <w:trPr>
                      <w:tblCellSpacing w:w="15" w:type="dxa"/>
                    </w:trPr>
                    <w:tc>
                      <w:tcPr>
                        <w:tcW w:w="600" w:type="dxa"/>
                        <w:vAlign w:val="center"/>
                        <w:hideMark/>
                      </w:tcPr>
                      <w:p w:rsidR="004A040D" w:rsidRPr="004A040D" w:rsidRDefault="004A040D" w:rsidP="004A040D">
                        <w:pPr>
                          <w:spacing w:after="0" w:line="240" w:lineRule="auto"/>
                          <w:rPr>
                            <w:rFonts w:ascii="Times New Roman" w:eastAsia="Times New Roman" w:hAnsi="Times New Roman" w:cs="Times New Roman"/>
                            <w:sz w:val="24"/>
                            <w:szCs w:val="24"/>
                          </w:rPr>
                        </w:pPr>
                      </w:p>
                    </w:tc>
                  </w:tr>
                </w:tbl>
                <w:p w:rsidR="004A040D" w:rsidRPr="004A040D" w:rsidRDefault="004A040D" w:rsidP="004A040D">
                  <w:pPr>
                    <w:spacing w:after="0" w:line="240" w:lineRule="auto"/>
                    <w:rPr>
                      <w:rFonts w:ascii="Times New Roman" w:eastAsia="Times New Roman" w:hAnsi="Times New Roman" w:cs="Times New Roman"/>
                      <w:sz w:val="24"/>
                      <w:szCs w:val="24"/>
                    </w:rPr>
                  </w:pPr>
                </w:p>
              </w:tc>
              <w:tc>
                <w:tcPr>
                  <w:tcW w:w="2985" w:type="dxa"/>
                  <w:vAlign w:val="center"/>
                  <w:hideMark/>
                </w:tcPr>
                <w:tbl>
                  <w:tblPr>
                    <w:tblW w:w="0" w:type="auto"/>
                    <w:tblCellSpacing w:w="15" w:type="dxa"/>
                    <w:tblCellMar>
                      <w:top w:w="15" w:type="dxa"/>
                      <w:left w:w="15" w:type="dxa"/>
                      <w:bottom w:w="15" w:type="dxa"/>
                      <w:right w:w="15" w:type="dxa"/>
                    </w:tblCellMar>
                    <w:tblLook w:val="04A0"/>
                  </w:tblPr>
                  <w:tblGrid>
                    <w:gridCol w:w="660"/>
                  </w:tblGrid>
                  <w:tr w:rsidR="004A040D" w:rsidRPr="004A040D">
                    <w:trPr>
                      <w:tblCellSpacing w:w="15" w:type="dxa"/>
                    </w:trPr>
                    <w:tc>
                      <w:tcPr>
                        <w:tcW w:w="600" w:type="dxa"/>
                        <w:vAlign w:val="center"/>
                        <w:hideMark/>
                      </w:tcPr>
                      <w:p w:rsidR="004A040D" w:rsidRPr="004A040D" w:rsidRDefault="004A040D" w:rsidP="004A040D">
                        <w:pPr>
                          <w:spacing w:after="0" w:line="240" w:lineRule="auto"/>
                          <w:rPr>
                            <w:rFonts w:ascii="Times New Roman" w:eastAsia="Times New Roman" w:hAnsi="Times New Roman" w:cs="Times New Roman"/>
                            <w:sz w:val="24"/>
                            <w:szCs w:val="24"/>
                          </w:rPr>
                        </w:pPr>
                      </w:p>
                    </w:tc>
                  </w:tr>
                </w:tbl>
                <w:p w:rsidR="004A040D" w:rsidRPr="004A040D" w:rsidRDefault="004A040D" w:rsidP="004A040D">
                  <w:pPr>
                    <w:spacing w:after="0" w:line="240" w:lineRule="auto"/>
                    <w:rPr>
                      <w:rFonts w:ascii="Times New Roman" w:eastAsia="Times New Roman" w:hAnsi="Times New Roman" w:cs="Times New Roman"/>
                      <w:sz w:val="24"/>
                      <w:szCs w:val="24"/>
                    </w:rPr>
                  </w:pPr>
                </w:p>
              </w:tc>
              <w:tc>
                <w:tcPr>
                  <w:tcW w:w="2985" w:type="dxa"/>
                  <w:vAlign w:val="center"/>
                  <w:hideMark/>
                </w:tcPr>
                <w:tbl>
                  <w:tblPr>
                    <w:tblW w:w="0" w:type="auto"/>
                    <w:tblCellSpacing w:w="15" w:type="dxa"/>
                    <w:tblCellMar>
                      <w:top w:w="15" w:type="dxa"/>
                      <w:left w:w="15" w:type="dxa"/>
                      <w:bottom w:w="15" w:type="dxa"/>
                      <w:right w:w="15" w:type="dxa"/>
                    </w:tblCellMar>
                    <w:tblLook w:val="04A0"/>
                  </w:tblPr>
                  <w:tblGrid>
                    <w:gridCol w:w="660"/>
                  </w:tblGrid>
                  <w:tr w:rsidR="004A040D" w:rsidRPr="004A040D">
                    <w:trPr>
                      <w:tblCellSpacing w:w="15" w:type="dxa"/>
                    </w:trPr>
                    <w:tc>
                      <w:tcPr>
                        <w:tcW w:w="600" w:type="dxa"/>
                        <w:vAlign w:val="center"/>
                        <w:hideMark/>
                      </w:tcPr>
                      <w:p w:rsidR="004A040D" w:rsidRPr="004A040D" w:rsidRDefault="004A040D" w:rsidP="004A040D">
                        <w:pPr>
                          <w:spacing w:after="0" w:line="240" w:lineRule="auto"/>
                          <w:rPr>
                            <w:rFonts w:ascii="Times New Roman" w:eastAsia="Times New Roman" w:hAnsi="Times New Roman" w:cs="Times New Roman"/>
                            <w:sz w:val="24"/>
                            <w:szCs w:val="24"/>
                          </w:rPr>
                        </w:pPr>
                      </w:p>
                    </w:tc>
                  </w:tr>
                </w:tbl>
                <w:p w:rsidR="004A040D" w:rsidRPr="004A040D" w:rsidRDefault="004A040D" w:rsidP="004A040D">
                  <w:pPr>
                    <w:spacing w:after="0" w:line="240" w:lineRule="auto"/>
                    <w:rPr>
                      <w:rFonts w:ascii="Times New Roman" w:eastAsia="Times New Roman" w:hAnsi="Times New Roman" w:cs="Times New Roman"/>
                      <w:sz w:val="24"/>
                      <w:szCs w:val="24"/>
                    </w:rPr>
                  </w:pPr>
                </w:p>
              </w:tc>
            </w:tr>
          </w:tbl>
          <w:p w:rsidR="004A040D" w:rsidRPr="004A040D" w:rsidRDefault="004A040D" w:rsidP="004A040D">
            <w:pPr>
              <w:spacing w:after="0" w:line="240" w:lineRule="auto"/>
              <w:rPr>
                <w:rFonts w:ascii="Times New Roman" w:eastAsia="Times New Roman" w:hAnsi="Times New Roman" w:cs="Times New Roman"/>
                <w:sz w:val="24"/>
                <w:szCs w:val="24"/>
              </w:rPr>
            </w:pPr>
          </w:p>
        </w:tc>
      </w:tr>
      <w:tr w:rsidR="004A040D" w:rsidRPr="004A040D" w:rsidTr="004A040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60"/>
            </w:tblGrid>
            <w:tr w:rsidR="004A040D" w:rsidRPr="004A040D">
              <w:trPr>
                <w:tblCellSpacing w:w="15" w:type="dxa"/>
              </w:trPr>
              <w:tc>
                <w:tcPr>
                  <w:tcW w:w="9000" w:type="dxa"/>
                  <w:vAlign w:val="center"/>
                  <w:hideMark/>
                </w:tcPr>
                <w:tbl>
                  <w:tblPr>
                    <w:tblW w:w="0" w:type="auto"/>
                    <w:tblCellSpacing w:w="15" w:type="dxa"/>
                    <w:tblCellMar>
                      <w:top w:w="15" w:type="dxa"/>
                      <w:left w:w="15" w:type="dxa"/>
                      <w:bottom w:w="15" w:type="dxa"/>
                      <w:right w:w="15" w:type="dxa"/>
                    </w:tblCellMar>
                    <w:tblLook w:val="04A0"/>
                  </w:tblPr>
                  <w:tblGrid>
                    <w:gridCol w:w="5295"/>
                    <w:gridCol w:w="345"/>
                  </w:tblGrid>
                  <w:tr w:rsidR="004A040D" w:rsidRPr="004A040D">
                    <w:trPr>
                      <w:tblCellSpacing w:w="15" w:type="dxa"/>
                    </w:trPr>
                    <w:tc>
                      <w:tcPr>
                        <w:tcW w:w="5550" w:type="dxa"/>
                        <w:gridSpan w:val="2"/>
                        <w:shd w:val="clear" w:color="auto" w:fill="FAFAFA"/>
                        <w:vAlign w:val="center"/>
                        <w:hideMark/>
                      </w:tcPr>
                      <w:p w:rsidR="004A040D" w:rsidRPr="004A040D" w:rsidRDefault="004A040D" w:rsidP="004A040D">
                        <w:pPr>
                          <w:spacing w:after="0" w:line="240" w:lineRule="auto"/>
                          <w:rPr>
                            <w:rFonts w:ascii="Times New Roman" w:eastAsia="Times New Roman" w:hAnsi="Times New Roman" w:cs="Times New Roman"/>
                            <w:sz w:val="24"/>
                            <w:szCs w:val="24"/>
                          </w:rPr>
                        </w:pPr>
                      </w:p>
                    </w:tc>
                  </w:tr>
                  <w:tr w:rsidR="004A040D" w:rsidRPr="004A040D">
                    <w:trPr>
                      <w:tblCellSpacing w:w="15" w:type="dxa"/>
                    </w:trPr>
                    <w:tc>
                      <w:tcPr>
                        <w:tcW w:w="5250" w:type="dxa"/>
                        <w:vAlign w:val="center"/>
                        <w:hideMark/>
                      </w:tcPr>
                      <w:p w:rsidR="004A040D" w:rsidRPr="004A040D" w:rsidRDefault="004A040D" w:rsidP="004A040D">
                        <w:pPr>
                          <w:spacing w:after="0" w:line="240" w:lineRule="auto"/>
                          <w:jc w:val="center"/>
                          <w:rPr>
                            <w:rFonts w:ascii="Times New Roman" w:eastAsia="Times New Roman" w:hAnsi="Times New Roman" w:cs="Times New Roman"/>
                            <w:sz w:val="24"/>
                            <w:szCs w:val="24"/>
                          </w:rPr>
                        </w:pPr>
                        <w:r w:rsidRPr="004A040D">
                          <w:rPr>
                            <w:rFonts w:ascii="Times New Roman" w:eastAsia="Times New Roman" w:hAnsi="Times New Roman" w:cs="Times New Roman"/>
                            <w:i/>
                            <w:iCs/>
                            <w:color w:val="707070"/>
                            <w:sz w:val="18"/>
                            <w:szCs w:val="18"/>
                          </w:rPr>
                          <w:t>Copyright © 2013 AAPS, All rights reserved.</w:t>
                        </w:r>
                        <w:r w:rsidRPr="004A040D">
                          <w:rPr>
                            <w:rFonts w:ascii="Times New Roman" w:eastAsia="Times New Roman" w:hAnsi="Times New Roman" w:cs="Times New Roman"/>
                            <w:color w:val="707070"/>
                            <w:sz w:val="18"/>
                            <w:szCs w:val="18"/>
                          </w:rPr>
                          <w:t> </w:t>
                        </w:r>
                      </w:p>
                    </w:tc>
                    <w:tc>
                      <w:tcPr>
                        <w:tcW w:w="300" w:type="dxa"/>
                        <w:vAlign w:val="center"/>
                        <w:hideMark/>
                      </w:tcPr>
                      <w:p w:rsidR="004A040D" w:rsidRPr="004A040D" w:rsidRDefault="004A040D" w:rsidP="004A040D">
                        <w:pPr>
                          <w:spacing w:after="0" w:line="240" w:lineRule="auto"/>
                          <w:rPr>
                            <w:rFonts w:ascii="Times New Roman" w:eastAsia="Times New Roman" w:hAnsi="Times New Roman" w:cs="Times New Roman"/>
                            <w:sz w:val="24"/>
                            <w:szCs w:val="24"/>
                          </w:rPr>
                        </w:pPr>
                      </w:p>
                    </w:tc>
                  </w:tr>
                </w:tbl>
                <w:p w:rsidR="004A040D" w:rsidRPr="004A040D" w:rsidRDefault="004A040D" w:rsidP="004A040D">
                  <w:pPr>
                    <w:spacing w:after="0" w:line="240" w:lineRule="auto"/>
                    <w:rPr>
                      <w:rFonts w:ascii="Times New Roman" w:eastAsia="Times New Roman" w:hAnsi="Times New Roman" w:cs="Times New Roman"/>
                      <w:sz w:val="24"/>
                      <w:szCs w:val="24"/>
                    </w:rPr>
                  </w:pPr>
                </w:p>
              </w:tc>
            </w:tr>
          </w:tbl>
          <w:p w:rsidR="004A040D" w:rsidRPr="004A040D" w:rsidRDefault="004A040D" w:rsidP="004A040D">
            <w:pPr>
              <w:spacing w:after="0" w:line="240" w:lineRule="auto"/>
              <w:rPr>
                <w:rFonts w:ascii="Times New Roman" w:eastAsia="Times New Roman" w:hAnsi="Times New Roman" w:cs="Times New Roman"/>
                <w:sz w:val="24"/>
                <w:szCs w:val="24"/>
              </w:rPr>
            </w:pPr>
          </w:p>
        </w:tc>
      </w:tr>
    </w:tbl>
    <w:p w:rsidR="00DB326A" w:rsidRDefault="00DB326A"/>
    <w:sectPr w:rsidR="00DB326A" w:rsidSect="00DB32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45B"/>
    <w:multiLevelType w:val="multilevel"/>
    <w:tmpl w:val="1F04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A040D"/>
    <w:rsid w:val="004A040D"/>
    <w:rsid w:val="00DB3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40D"/>
    <w:rPr>
      <w:color w:val="0000FF"/>
      <w:u w:val="single"/>
    </w:rPr>
  </w:style>
</w:styles>
</file>

<file path=word/webSettings.xml><?xml version="1.0" encoding="utf-8"?>
<w:webSettings xmlns:r="http://schemas.openxmlformats.org/officeDocument/2006/relationships" xmlns:w="http://schemas.openxmlformats.org/wordprocessingml/2006/main">
  <w:divs>
    <w:div w:id="5600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psonline.us1.list-manage.com/track/click?u=30a32513ae04f5445c95f3239&amp;id=d085287178&amp;e=d37e9a44a9" TargetMode="External"/><Relationship Id="rId13" Type="http://schemas.openxmlformats.org/officeDocument/2006/relationships/hyperlink" Target="http://www.jchimp.net/index.php/jchimp/article/view/2032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sonline.org/index.php/article/action_alert_stop_moc_mol_in_new_york_state/" TargetMode="External"/><Relationship Id="rId12" Type="http://schemas.openxmlformats.org/officeDocument/2006/relationships/hyperlink" Target="http://aapsonline.us1.list-manage.com/track/click?u=30a32513ae04f5445c95f3239&amp;id=57266ee4df&amp;e=d37e9a44a9" TargetMode="External"/><Relationship Id="rId17" Type="http://schemas.openxmlformats.org/officeDocument/2006/relationships/hyperlink" Target="http://aapsonline.us1.list-manage1.com/track/click?u=30a32513ae04f5445c95f3239&amp;id=5bfd8be2ae&amp;e=d37e9a44a9" TargetMode="External"/><Relationship Id="rId2" Type="http://schemas.openxmlformats.org/officeDocument/2006/relationships/styles" Target="styles.xml"/><Relationship Id="rId16" Type="http://schemas.openxmlformats.org/officeDocument/2006/relationships/hyperlink" Target="http://aapsonline.us1.list-manage.com/track/click?u=30a32513ae04f5445c95f3239&amp;id=78ea7f11ee&amp;e=d37e9a44a9" TargetMode="External"/><Relationship Id="rId1" Type="http://schemas.openxmlformats.org/officeDocument/2006/relationships/numbering" Target="numbering.xml"/><Relationship Id="rId6" Type="http://schemas.openxmlformats.org/officeDocument/2006/relationships/hyperlink" Target="http://aapsonline.us1.list-manage.com/track/click?u=30a32513ae04f5445c95f3239&amp;id=a096a1df90&amp;e=d37e9a44a9" TargetMode="External"/><Relationship Id="rId11" Type="http://schemas.openxmlformats.org/officeDocument/2006/relationships/hyperlink" Target="http://www.aapsonline.org/costofmoc" TargetMode="External"/><Relationship Id="rId5" Type="http://schemas.openxmlformats.org/officeDocument/2006/relationships/hyperlink" Target="http://us1.campaign-archive2.com/?u=30a32513ae04f5445c95f3239&amp;id=f698d9f02e&amp;e=d37e9a44a9" TargetMode="External"/><Relationship Id="rId15" Type="http://schemas.openxmlformats.org/officeDocument/2006/relationships/hyperlink" Target="http://ip4pi.wordpress.com/" TargetMode="External"/><Relationship Id="rId10" Type="http://schemas.openxmlformats.org/officeDocument/2006/relationships/hyperlink" Target="http://aapsonline.us1.list-manage1.com/track/click?u=30a32513ae04f5445c95f3239&amp;id=43f774b4c8&amp;e=d37e9a44a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apsonline.us1.list-manage1.com/track/click?u=30a32513ae04f5445c95f3239&amp;id=d6dd7a528e&amp;e=d37e9a44a9" TargetMode="External"/><Relationship Id="rId14" Type="http://schemas.openxmlformats.org/officeDocument/2006/relationships/hyperlink" Target="http://changeboardrec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2013-05-07T16:47:00Z</dcterms:created>
  <dcterms:modified xsi:type="dcterms:W3CDTF">2013-05-07T16:48:00Z</dcterms:modified>
</cp:coreProperties>
</file>